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康复路径管理系统</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62F15622">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lang w:val="en-US" w:eastAsia="zh-CN"/>
              </w:rPr>
            </w:pPr>
            <w:r>
              <w:rPr>
                <w:rFonts w:hint="eastAsia" w:ascii="宋体" w:hAnsi="宋体" w:eastAsia="宋体" w:cs="宋体"/>
                <w:b w:val="0"/>
                <w:bCs w:val="0"/>
                <w:sz w:val="21"/>
                <w:szCs w:val="21"/>
                <w:lang w:val="en-US" w:eastAsia="zh-CN"/>
              </w:rPr>
              <w:t>软件系统</w:t>
            </w:r>
            <w:r>
              <w:rPr>
                <w:rFonts w:hint="eastAsia" w:ascii="宋体" w:hAnsi="宋体" w:eastAsia="宋体" w:cs="宋体"/>
                <w:sz w:val="21"/>
                <w:szCs w:val="21"/>
                <w:lang w:eastAsia="zh-CN"/>
              </w:rPr>
              <w:t>具有药监局颁布的</w:t>
            </w:r>
            <w:r>
              <w:rPr>
                <w:rFonts w:hint="eastAsia" w:ascii="宋体" w:hAnsi="宋体" w:eastAsia="宋体" w:cs="宋体"/>
                <w:b w:val="0"/>
                <w:bCs w:val="0"/>
                <w:i w:val="0"/>
                <w:caps w:val="0"/>
                <w:color w:val="auto"/>
                <w:spacing w:val="0"/>
                <w:sz w:val="21"/>
                <w:szCs w:val="21"/>
                <w:lang w:eastAsia="zh-CN"/>
              </w:rPr>
              <w:t>《医疗器械注册证》（二类医疗器械）；</w:t>
            </w:r>
          </w:p>
          <w:p w14:paraId="6E912379">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lang w:val="en-US" w:eastAsia="zh-CN"/>
              </w:rPr>
            </w:pPr>
            <w:r>
              <w:rPr>
                <w:rFonts w:hint="eastAsia"/>
                <w:lang w:val="en-US" w:eastAsia="zh-CN"/>
              </w:rPr>
              <w:t>符合GB/T 2500.51《系统与软件工程  系统与软件质量要求和评价》标准要求；系统数据安全性和质量保证符合国家医疗信息安全质量管理法律规定；</w:t>
            </w:r>
          </w:p>
          <w:p w14:paraId="0069C648">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sz w:val="21"/>
                <w:szCs w:val="21"/>
                <w:lang w:eastAsia="zh-CN"/>
              </w:rPr>
              <w:t>采用物联网技术</w:t>
            </w:r>
            <w:r>
              <w:rPr>
                <w:rFonts w:hint="eastAsia" w:ascii="宋体" w:hAnsi="宋体" w:eastAsia="宋体" w:cs="宋体"/>
                <w:b w:val="0"/>
                <w:bCs w:val="0"/>
                <w:sz w:val="21"/>
                <w:szCs w:val="21"/>
                <w:lang w:val="en-US" w:eastAsia="zh-CN"/>
              </w:rPr>
              <w:t>支持</w:t>
            </w:r>
            <w:r>
              <w:rPr>
                <w:rFonts w:hint="eastAsia" w:ascii="宋体" w:hAnsi="宋体" w:eastAsia="宋体" w:cs="宋体"/>
                <w:b w:val="0"/>
                <w:bCs w:val="0"/>
                <w:sz w:val="21"/>
                <w:szCs w:val="21"/>
                <w:lang w:val="en-US" w:eastAsia="zh-Hans"/>
              </w:rPr>
              <w:t>运动</w:t>
            </w:r>
            <w:r>
              <w:rPr>
                <w:rFonts w:hint="eastAsia" w:ascii="宋体" w:hAnsi="宋体" w:eastAsia="宋体" w:cs="宋体"/>
                <w:b w:val="0"/>
                <w:bCs w:val="0"/>
                <w:sz w:val="21"/>
                <w:szCs w:val="21"/>
                <w:lang w:eastAsia="zh-Hans"/>
              </w:rPr>
              <w:t>、</w:t>
            </w:r>
            <w:r>
              <w:rPr>
                <w:rFonts w:hint="eastAsia" w:ascii="宋体" w:hAnsi="宋体" w:eastAsia="宋体" w:cs="宋体"/>
                <w:b w:val="0"/>
                <w:bCs w:val="0"/>
                <w:sz w:val="21"/>
                <w:szCs w:val="21"/>
                <w:lang w:val="en-US" w:eastAsia="zh-Hans"/>
              </w:rPr>
              <w:t>营养</w:t>
            </w:r>
            <w:r>
              <w:rPr>
                <w:rFonts w:hint="eastAsia" w:ascii="宋体" w:hAnsi="宋体" w:eastAsia="宋体" w:cs="宋体"/>
                <w:b w:val="0"/>
                <w:bCs w:val="0"/>
                <w:sz w:val="21"/>
                <w:szCs w:val="21"/>
                <w:lang w:eastAsia="zh-Hans"/>
              </w:rPr>
              <w:t>、</w:t>
            </w:r>
            <w:r>
              <w:rPr>
                <w:rFonts w:hint="eastAsia" w:ascii="宋体" w:hAnsi="宋体" w:eastAsia="宋体" w:cs="宋体"/>
                <w:b w:val="0"/>
                <w:bCs w:val="0"/>
                <w:sz w:val="21"/>
                <w:szCs w:val="21"/>
                <w:lang w:val="en-US" w:eastAsia="zh-Hans"/>
              </w:rPr>
              <w:t>心理等多种评估</w:t>
            </w:r>
            <w:r>
              <w:rPr>
                <w:rFonts w:hint="eastAsia" w:ascii="宋体" w:hAnsi="宋体" w:eastAsia="宋体" w:cs="宋体"/>
                <w:b w:val="0"/>
                <w:bCs w:val="0"/>
                <w:sz w:val="21"/>
                <w:szCs w:val="21"/>
                <w:lang w:val="en-US" w:eastAsia="zh-CN"/>
              </w:rPr>
              <w:t>；评估设备、训练设备、监护设备与康复路径管理系统直接对接，数据信息直接</w:t>
            </w:r>
            <w:r>
              <w:rPr>
                <w:rFonts w:hint="eastAsia" w:ascii="宋体" w:hAnsi="宋体" w:eastAsia="宋体" w:cs="宋体"/>
                <w:b w:val="0"/>
                <w:bCs w:val="0"/>
                <w:sz w:val="21"/>
                <w:szCs w:val="21"/>
                <w:lang w:val="en-US" w:eastAsia="zh-Hans"/>
              </w:rPr>
              <w:t>自动</w:t>
            </w:r>
            <w:r>
              <w:rPr>
                <w:rFonts w:hint="eastAsia" w:ascii="宋体" w:hAnsi="宋体" w:eastAsia="宋体" w:cs="宋体"/>
                <w:b w:val="0"/>
                <w:bCs w:val="0"/>
                <w:sz w:val="21"/>
                <w:szCs w:val="21"/>
                <w:lang w:val="en-US" w:eastAsia="zh-CN"/>
              </w:rPr>
              <w:t>交互</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Hans"/>
              </w:rPr>
              <w:t>无需手动输入</w:t>
            </w:r>
            <w:r>
              <w:rPr>
                <w:rFonts w:hint="eastAsia" w:ascii="宋体" w:hAnsi="宋体" w:eastAsia="宋体" w:cs="宋体"/>
                <w:b w:val="0"/>
                <w:bCs w:val="0"/>
                <w:sz w:val="21"/>
                <w:szCs w:val="21"/>
                <w:lang w:val="en-US" w:eastAsia="zh-CN"/>
              </w:rPr>
              <w:t>；</w:t>
            </w:r>
          </w:p>
          <w:p w14:paraId="0AFE7451">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系统具有患者管理、评估、分析、指导、训练、监护、医生管理、系统设置等功能模块；</w:t>
            </w:r>
          </w:p>
          <w:p w14:paraId="46F9D2C3">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系统遵循康复临床路径需求设计，具备评估－处方制订－训练－监测－再评估－处方修订再训练－监测的康复循环路径，导航式流程操作为医护人员提供科学、标准、高效的康复治疗模式；</w:t>
            </w:r>
          </w:p>
          <w:p w14:paraId="14981525">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i w:val="0"/>
                <w:caps w:val="0"/>
                <w:color w:val="auto"/>
                <w:spacing w:val="0"/>
                <w:sz w:val="21"/>
                <w:szCs w:val="21"/>
                <w:lang w:eastAsia="zh-CN"/>
              </w:rPr>
              <w:t>支持</w:t>
            </w:r>
            <w:r>
              <w:rPr>
                <w:rFonts w:hint="eastAsia" w:ascii="宋体" w:hAnsi="宋体" w:eastAsia="宋体" w:cs="宋体"/>
                <w:b w:val="0"/>
                <w:bCs w:val="0"/>
                <w:i w:val="0"/>
                <w:caps w:val="0"/>
                <w:color w:val="auto"/>
                <w:spacing w:val="0"/>
                <w:sz w:val="21"/>
                <w:szCs w:val="21"/>
                <w:lang w:val="en-US" w:eastAsia="zh-CN"/>
              </w:rPr>
              <w:t>与</w:t>
            </w:r>
            <w:r>
              <w:rPr>
                <w:rFonts w:hint="eastAsia" w:ascii="宋体" w:hAnsi="宋体" w:eastAsia="宋体" w:cs="宋体"/>
                <w:b w:val="0"/>
                <w:bCs w:val="0"/>
                <w:i w:val="0"/>
                <w:caps w:val="0"/>
                <w:color w:val="auto"/>
                <w:spacing w:val="0"/>
                <w:sz w:val="21"/>
                <w:szCs w:val="21"/>
                <w:lang w:eastAsia="zh-CN"/>
              </w:rPr>
              <w:t>科室</w:t>
            </w:r>
            <w:r>
              <w:rPr>
                <w:rFonts w:hint="eastAsia" w:ascii="宋体" w:hAnsi="宋体" w:eastAsia="宋体" w:cs="宋体"/>
                <w:b w:val="0"/>
                <w:bCs w:val="0"/>
                <w:i w:val="0"/>
                <w:caps w:val="0"/>
                <w:color w:val="auto"/>
                <w:spacing w:val="0"/>
                <w:sz w:val="21"/>
                <w:szCs w:val="21"/>
                <w:lang w:val="en-US" w:eastAsia="zh-CN"/>
              </w:rPr>
              <w:t>现有的</w:t>
            </w:r>
            <w:r>
              <w:rPr>
                <w:rFonts w:hint="eastAsia" w:ascii="宋体" w:hAnsi="宋体" w:eastAsia="宋体" w:cs="宋体"/>
                <w:b w:val="0"/>
                <w:bCs w:val="0"/>
                <w:i w:val="0"/>
                <w:caps w:val="0"/>
                <w:color w:val="auto"/>
                <w:spacing w:val="0"/>
                <w:sz w:val="21"/>
                <w:szCs w:val="21"/>
                <w:lang w:eastAsia="zh-CN"/>
              </w:rPr>
              <w:t>康复训练设备、监测设备集成化接入管理，以物联网形式实现患者的康复干预、指导训练、监测数据管理，实现区域内数据的共享；</w:t>
            </w:r>
          </w:p>
          <w:p w14:paraId="07BAAB46">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患者康复数据综合化管理，可实现患者康复过程中各阶段数据分析管理，便于医护人员查找回顾患者康复过程数据；</w:t>
            </w:r>
          </w:p>
          <w:p w14:paraId="25D41A9F">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可实现患者病历管理，记录患者病历信息，方便医护人员回顾查看；</w:t>
            </w:r>
          </w:p>
          <w:p w14:paraId="0A385A39">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sz w:val="21"/>
                <w:szCs w:val="21"/>
                <w:lang w:val="en-US" w:eastAsia="zh-CN"/>
              </w:rPr>
              <w:t>应具有运动评估功能 提供多模式运动评估数据对接，可对接模块有六分钟步行试验、心肺运动评估试验、肌力评估试验等。</w:t>
            </w:r>
            <w:r>
              <w:rPr>
                <w:rFonts w:hint="eastAsia" w:ascii="宋体" w:hAnsi="宋体" w:eastAsia="宋体" w:cs="宋体"/>
                <w:b w:val="0"/>
                <w:bCs w:val="0"/>
                <w:color w:val="auto"/>
                <w:sz w:val="21"/>
                <w:szCs w:val="21"/>
                <w:lang w:val="en-US" w:eastAsia="zh-CN"/>
              </w:rPr>
              <w:t>可连接配套的六分钟步行监测分析系统，对患者进行运动评估功能，采用六分钟步行试验设备对患者进行科学化运动耐力、心肺等级评估，评估记录及结果直接保存并提供运动处方。可扩展对接心肺运动试验数据；</w:t>
            </w:r>
          </w:p>
          <w:p w14:paraId="522C8A4B">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color w:val="auto"/>
                <w:sz w:val="21"/>
                <w:szCs w:val="21"/>
                <w:lang w:eastAsia="zh-CN"/>
              </w:rPr>
              <w:t>应具有心理评估功能</w:t>
            </w:r>
            <w:r>
              <w:rPr>
                <w:rFonts w:hint="eastAsia" w:ascii="宋体" w:hAnsi="宋体" w:eastAsia="宋体" w:cs="宋体"/>
                <w:color w:val="auto"/>
                <w:sz w:val="21"/>
                <w:szCs w:val="21"/>
                <w:lang w:val="en-US" w:eastAsia="zh-CN"/>
              </w:rPr>
              <w:t xml:space="preserve"> </w:t>
            </w:r>
            <w:r>
              <w:rPr>
                <w:rFonts w:hint="eastAsia" w:ascii="宋体" w:hAnsi="宋体" w:eastAsia="宋体" w:cs="宋体"/>
                <w:b w:val="0"/>
                <w:bCs w:val="0"/>
                <w:color w:val="auto"/>
                <w:sz w:val="21"/>
                <w:szCs w:val="21"/>
                <w:lang w:val="en-US" w:eastAsia="zh-CN"/>
              </w:rPr>
              <w:t>可支持对接双心分析评测系统或心身分析评测系统实现心</w:t>
            </w:r>
            <w:r>
              <w:rPr>
                <w:rFonts w:hint="eastAsia" w:ascii="宋体" w:hAnsi="宋体" w:eastAsia="宋体" w:cs="宋体"/>
                <w:b w:val="0"/>
                <w:bCs w:val="0"/>
                <w:sz w:val="21"/>
                <w:szCs w:val="21"/>
                <w:lang w:val="en-US" w:eastAsia="zh-CN"/>
              </w:rPr>
              <w:t>理评估功能，评估结果直接由评测端上传至康复管理系统进行统一管理；</w:t>
            </w:r>
          </w:p>
          <w:p w14:paraId="334C776F">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心理评估提供焦虑、抑郁、躯体化、个性情感等类型量表</w:t>
            </w:r>
            <w:r>
              <w:rPr>
                <w:rFonts w:hint="eastAsia" w:ascii="宋体" w:hAnsi="宋体" w:eastAsia="宋体" w:cs="宋体"/>
                <w:sz w:val="21"/>
                <w:szCs w:val="21"/>
                <w:lang w:eastAsia="zh-CN"/>
              </w:rPr>
              <w:t>，</w:t>
            </w:r>
            <w:r>
              <w:rPr>
                <w:rFonts w:hint="eastAsia" w:ascii="宋体" w:hAnsi="宋体" w:eastAsia="宋体" w:cs="宋体"/>
                <w:b w:val="0"/>
                <w:bCs w:val="0"/>
                <w:sz w:val="21"/>
                <w:szCs w:val="21"/>
                <w:lang w:val="en-US" w:eastAsia="zh-CN"/>
              </w:rPr>
              <w:t>支持综合医院焦虑抑郁量表（HAD）、抑郁筛查（PHQ-9）、焦虑筛查（GAD-7）、焦虑自评（SAS）、抑郁自评（SDS）、汉密尔顿抑郁（HAMD）、汉密尔顿焦虑（HAMA）、躯体化症状自评（SSS）、个性感情与情绪（PAD）、症状自评（SCL-90）、</w:t>
            </w:r>
            <w:r>
              <w:rPr>
                <w:rFonts w:hint="eastAsia" w:ascii="宋体" w:hAnsi="宋体" w:eastAsia="宋体" w:cs="宋体"/>
                <w:sz w:val="21"/>
                <w:szCs w:val="21"/>
                <w:lang w:val="en-US" w:eastAsia="zh-CN"/>
              </w:rPr>
              <w:t>艾森克人格问卷（EPQ）、蒙哥马利量表抑郁评定（MADRS）、贝克抑郁自评（BDI）</w:t>
            </w:r>
            <w:r>
              <w:rPr>
                <w:rFonts w:hint="eastAsia" w:ascii="宋体" w:hAnsi="宋体" w:eastAsia="宋体" w:cs="宋体"/>
                <w:b w:val="0"/>
                <w:bCs w:val="0"/>
                <w:sz w:val="21"/>
                <w:szCs w:val="21"/>
                <w:lang w:val="en-US" w:eastAsia="zh-CN"/>
              </w:rPr>
              <w:t>等；</w:t>
            </w:r>
          </w:p>
          <w:p w14:paraId="62BB5A41">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支持呼吸评估，内设圣乔治呼吸问卷、CAT、烟草依赖评估量表、mMRC--改良呼吸困难问卷；</w:t>
            </w:r>
          </w:p>
          <w:p w14:paraId="4CFE3001">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支持营养评估，内设NRS2002--营养评估表；</w:t>
            </w:r>
          </w:p>
          <w:p w14:paraId="31FE17F9">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支持睡眠评估，内设匹兹堡睡眠质量指数量表（</w:t>
            </w:r>
            <w:r>
              <w:rPr>
                <w:rFonts w:hint="eastAsia" w:ascii="宋体" w:hAnsi="宋体" w:eastAsia="宋体" w:cs="宋体"/>
                <w:sz w:val="21"/>
                <w:szCs w:val="21"/>
                <w:lang w:val="en-US" w:eastAsia="zh-CN"/>
              </w:rPr>
              <w:t>PSQI</w:t>
            </w:r>
            <w:r>
              <w:rPr>
                <w:rFonts w:hint="eastAsia" w:ascii="宋体" w:hAnsi="宋体" w:eastAsia="宋体" w:cs="宋体"/>
                <w:b w:val="0"/>
                <w:bCs w:val="0"/>
                <w:sz w:val="21"/>
                <w:szCs w:val="21"/>
                <w:lang w:val="en-US" w:eastAsia="zh-CN"/>
              </w:rPr>
              <w:t>）；</w:t>
            </w:r>
          </w:p>
          <w:p w14:paraId="15F98946">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支持认知功能评估，内设简易智能精神状态检查量表（</w:t>
            </w:r>
            <w:r>
              <w:rPr>
                <w:rFonts w:hint="eastAsia" w:ascii="宋体" w:hAnsi="宋体" w:eastAsia="宋体" w:cs="宋体"/>
                <w:sz w:val="21"/>
                <w:szCs w:val="21"/>
                <w:lang w:eastAsia="zh-CN"/>
              </w:rPr>
              <w:t>MMSE</w:t>
            </w:r>
            <w:r>
              <w:rPr>
                <w:rFonts w:hint="eastAsia" w:ascii="宋体" w:hAnsi="宋体" w:eastAsia="宋体" w:cs="宋体"/>
                <w:b w:val="0"/>
                <w:bCs w:val="0"/>
                <w:sz w:val="21"/>
                <w:szCs w:val="21"/>
                <w:lang w:val="en-US" w:eastAsia="zh-CN"/>
              </w:rPr>
              <w:t>）；</w:t>
            </w:r>
          </w:p>
          <w:p w14:paraId="179EF7D0">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支持生活能力评估，内设西雅图心绞痛量表（</w:t>
            </w:r>
            <w:r>
              <w:rPr>
                <w:rFonts w:hint="eastAsia" w:ascii="宋体" w:hAnsi="宋体" w:eastAsia="宋体" w:cs="宋体"/>
                <w:sz w:val="21"/>
                <w:szCs w:val="21"/>
                <w:lang w:val="en-US" w:eastAsia="zh-CN"/>
              </w:rPr>
              <w:t>SAQ</w:t>
            </w:r>
            <w:r>
              <w:rPr>
                <w:rFonts w:hint="eastAsia" w:ascii="宋体" w:hAnsi="宋体" w:eastAsia="宋体" w:cs="宋体"/>
                <w:b w:val="0"/>
                <w:bCs w:val="0"/>
                <w:sz w:val="21"/>
                <w:szCs w:val="21"/>
                <w:lang w:val="en-US" w:eastAsia="zh-CN"/>
              </w:rPr>
              <w:t>）、日常生活活动能力评估量表（ADL）、世界卫生组织生存质量测定量表（WHOQOL-100）；</w:t>
            </w:r>
          </w:p>
          <w:p w14:paraId="55C10C71">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评估疗效分析，可将六分钟步行距离、心率、血压、血氧、呼吸率、肺功能指标、心率变异性、康复训练时长、运动训练执行等康复数据形成趋势图，方便医护人员判断周期时间内患者治疗效果、康复情况及康复趋势分析，以便医护人员对患者进行康复方式或处方的制定及调整；</w:t>
            </w:r>
          </w:p>
          <w:p w14:paraId="533D48B0">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支持康复训练数据对比分析，可将多次康复训练的有效时长、生理参数（血压、心电、血氧饱和度、心率、脉率、呼吸率等）、训练做功、心率变异（HRV）等康复训练数据形成趋势对比图；</w:t>
            </w:r>
          </w:p>
          <w:p w14:paraId="08BCC145">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康复处方指导及管理。康复处方指导，包括：运动处方、药物处方、营养处方、心理处方、睡眠指导、戒烟限酒，形成推荐处方，医护人员可根据患者康复情况为其制定个性化康复处方，系统提供还提供部分病症的康复处方模板，医护人员可进行修改和自定义；</w:t>
            </w:r>
          </w:p>
          <w:p w14:paraId="769516DA">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支持处方管理，系统提供历史处方查询回顾，康复指导干预过程（运动处方记录、心理干预指导记录、营养指导记录、用药记录、戒烟限酒干预记录）记录可查询；</w:t>
            </w:r>
          </w:p>
          <w:p w14:paraId="6D6D0725">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支持康复中心远程管理 系统自动下载运动处方至运动器械上的康复训练监测端，患者登录训练</w:t>
            </w:r>
            <w:r>
              <w:rPr>
                <w:rFonts w:hint="eastAsia" w:ascii="宋体" w:hAnsi="宋体" w:eastAsia="宋体" w:cs="宋体"/>
                <w:sz w:val="21"/>
                <w:szCs w:val="21"/>
                <w:lang w:eastAsia="zh-CN"/>
              </w:rPr>
              <w:t>终端查看待执行处方、</w:t>
            </w:r>
            <w:r>
              <w:rPr>
                <w:rFonts w:hint="eastAsia" w:ascii="宋体" w:hAnsi="宋体" w:eastAsia="宋体" w:cs="宋体"/>
                <w:b w:val="0"/>
                <w:bCs w:val="0"/>
                <w:sz w:val="21"/>
                <w:szCs w:val="21"/>
                <w:lang w:val="en-US" w:eastAsia="zh-CN"/>
              </w:rPr>
              <w:t>执行处方训练，医护工作站可实现康复站内一对多的患者运动康复管理；</w:t>
            </w:r>
          </w:p>
          <w:p w14:paraId="5AE6CFC6">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eastAsia="zh-CN"/>
              </w:rPr>
            </w:pPr>
            <w:r>
              <w:rPr>
                <w:rFonts w:hint="eastAsia" w:ascii="宋体" w:hAnsi="宋体" w:eastAsia="宋体" w:cs="宋体"/>
                <w:b w:val="0"/>
                <w:bCs w:val="0"/>
                <w:sz w:val="21"/>
                <w:szCs w:val="21"/>
                <w:lang w:val="en-US" w:eastAsia="zh-CN"/>
              </w:rPr>
              <w:t>支持医护工作站一对多的患者运动康复监测管理，医护工作站可远程监测中心内康复患者的运动过程数据，包括生理参数（心电、血压、血氧、呼吸率等）和运动参数（运动速度、功率或距离等）。生理监测采用一体机设备实时监测患者运动中7导心电图、血压、血氧、呼吸频率等参数。康复器械参数（阻力或功率）可远程干预设定；</w:t>
            </w:r>
          </w:p>
          <w:p w14:paraId="4D22DE17">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eastAsia="zh-CN"/>
              </w:rPr>
            </w:pPr>
            <w:r>
              <w:rPr>
                <w:rFonts w:hint="eastAsia" w:ascii="宋体" w:hAnsi="宋体" w:eastAsia="宋体" w:cs="宋体"/>
                <w:b w:val="0"/>
                <w:bCs w:val="0"/>
                <w:sz w:val="21"/>
                <w:szCs w:val="21"/>
                <w:lang w:val="en-US" w:eastAsia="zh-CN"/>
              </w:rPr>
              <w:t>康复训练监测端（训练器械端）可实时显示运动处方参数和运动处方执行进度；</w:t>
            </w:r>
          </w:p>
          <w:p w14:paraId="654448B7">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eastAsia="zh-CN"/>
              </w:rPr>
            </w:pPr>
            <w:r>
              <w:rPr>
                <w:rFonts w:hint="eastAsia" w:ascii="宋体" w:hAnsi="宋体" w:eastAsia="宋体" w:cs="宋体"/>
                <w:b w:val="0"/>
                <w:bCs w:val="0"/>
                <w:sz w:val="21"/>
                <w:szCs w:val="21"/>
                <w:lang w:val="en-US" w:eastAsia="zh-CN"/>
              </w:rPr>
              <w:t>支持监护过程中预警值自定义功能，可实现在监测过程中预警功能，超出设置范围预警提示，实时提醒患者运动是否符合处方要求；</w:t>
            </w:r>
          </w:p>
          <w:p w14:paraId="0C5F6E77">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eastAsia="zh-CN"/>
              </w:rPr>
            </w:pPr>
            <w:r>
              <w:rPr>
                <w:rFonts w:hint="eastAsia" w:ascii="宋体" w:hAnsi="宋体" w:eastAsia="宋体" w:cs="宋体"/>
                <w:b w:val="0"/>
                <w:bCs w:val="0"/>
                <w:sz w:val="21"/>
                <w:szCs w:val="21"/>
                <w:lang w:val="en-US" w:eastAsia="zh-CN"/>
              </w:rPr>
              <w:t>支持康复训练完成自动形成康复训练报告，包括处方信息、运动处方有效运动时长、负荷运动时长、无效运动时长、支持过程中患者的心率、呼吸率、血压、心电图、心率变异性分析、心率震荡性、事件记录等；</w:t>
            </w:r>
          </w:p>
          <w:p w14:paraId="224734F9">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eastAsia="zh-CN"/>
              </w:rPr>
            </w:pPr>
            <w:r>
              <w:rPr>
                <w:rFonts w:hint="eastAsia" w:ascii="宋体" w:hAnsi="宋体" w:eastAsia="宋体" w:cs="宋体"/>
                <w:b w:val="0"/>
                <w:bCs w:val="0"/>
                <w:i w:val="0"/>
                <w:caps w:val="0"/>
                <w:color w:val="auto"/>
                <w:spacing w:val="0"/>
                <w:sz w:val="21"/>
                <w:szCs w:val="21"/>
                <w:lang w:eastAsia="zh-CN"/>
              </w:rPr>
              <w:t>具有完整的分级权限管理系统，系统管理员可对不同的人员授予不同的权限，使用者只能做已授权的操作。采用多级保护方式，支持对患者资料的保护功能，未经授权患者资料无法访问；</w:t>
            </w:r>
          </w:p>
          <w:p w14:paraId="3B82EFE5">
            <w:pPr>
              <w:keepNext w:val="0"/>
              <w:keepLines w:val="0"/>
              <w:pageBreakBefore w:val="0"/>
              <w:widowControl w:val="0"/>
              <w:numPr>
                <w:ilvl w:val="0"/>
                <w:numId w:val="2"/>
              </w:numPr>
              <w:kinsoku/>
              <w:wordWrap/>
              <w:overflowPunct/>
              <w:topLinePunct w:val="0"/>
              <w:autoSpaceDE/>
              <w:autoSpaceDN/>
              <w:bidi w:val="0"/>
              <w:adjustRightInd/>
              <w:snapToGrid/>
              <w:spacing w:before="95" w:beforeLines="30" w:line="320" w:lineRule="exact"/>
              <w:ind w:left="425" w:leftChars="0" w:hanging="425" w:firstLineChars="0"/>
              <w:textAlignment w:val="auto"/>
              <w:rPr>
                <w:rFonts w:hint="eastAsia" w:ascii="宋体" w:hAnsi="宋体" w:eastAsia="宋体" w:cs="宋体"/>
                <w:b w:val="0"/>
                <w:bCs w:val="0"/>
                <w:i w:val="0"/>
                <w:caps w:val="0"/>
                <w:color w:val="auto"/>
                <w:spacing w:val="0"/>
                <w:sz w:val="21"/>
                <w:szCs w:val="21"/>
                <w:lang w:val="en-US" w:eastAsia="zh-CN"/>
              </w:rPr>
            </w:pPr>
            <w:r>
              <w:rPr>
                <w:rFonts w:hint="eastAsia" w:ascii="宋体" w:hAnsi="宋体" w:eastAsia="宋体" w:cs="宋体"/>
                <w:b w:val="0"/>
                <w:bCs w:val="0"/>
                <w:i w:val="0"/>
                <w:caps w:val="0"/>
                <w:color w:val="auto"/>
                <w:spacing w:val="0"/>
                <w:sz w:val="21"/>
                <w:szCs w:val="21"/>
                <w:lang w:eastAsia="zh-CN"/>
              </w:rPr>
              <w:t>具备数据统计功能，支持数据</w:t>
            </w:r>
            <w:r>
              <w:rPr>
                <w:rFonts w:hint="eastAsia" w:ascii="宋体" w:hAnsi="宋体" w:eastAsia="宋体" w:cs="宋体"/>
                <w:b w:val="0"/>
                <w:bCs w:val="0"/>
                <w:i w:val="0"/>
                <w:caps w:val="0"/>
                <w:color w:val="auto"/>
                <w:spacing w:val="0"/>
                <w:sz w:val="21"/>
                <w:szCs w:val="21"/>
                <w:lang w:val="en-US" w:eastAsia="zh-CN"/>
              </w:rPr>
              <w:t>Excel格式导出</w:t>
            </w:r>
            <w:r>
              <w:rPr>
                <w:rFonts w:hint="eastAsia" w:ascii="宋体" w:hAnsi="宋体" w:eastAsia="宋体" w:cs="宋体"/>
                <w:b w:val="0"/>
                <w:bCs w:val="0"/>
                <w:i w:val="0"/>
                <w:caps w:val="0"/>
                <w:color w:val="auto"/>
                <w:spacing w:val="0"/>
                <w:sz w:val="21"/>
                <w:szCs w:val="21"/>
                <w:lang w:eastAsia="zh-CN"/>
              </w:rPr>
              <w:t>，方便进行学术研究；</w:t>
            </w:r>
          </w:p>
          <w:p w14:paraId="6BAB1531">
            <w:pPr>
              <w:pStyle w:val="2"/>
              <w:rPr>
                <w:rFonts w:hint="eastAsia"/>
                <w:lang w:val="en-US" w:eastAsia="zh-CN"/>
              </w:rPr>
            </w:pPr>
            <w:r>
              <w:rPr>
                <w:rFonts w:hint="eastAsia" w:ascii="宋体" w:hAnsi="宋体" w:eastAsia="宋体" w:cs="宋体"/>
                <w:b w:val="0"/>
                <w:bCs w:val="0"/>
                <w:i w:val="0"/>
                <w:caps w:val="0"/>
                <w:color w:val="auto"/>
                <w:spacing w:val="0"/>
                <w:sz w:val="21"/>
                <w:szCs w:val="21"/>
                <w:lang w:val="en-US" w:eastAsia="zh-CN"/>
              </w:rPr>
              <w:t>28.配置要求：电脑工作站一套；打印设备一套；</w:t>
            </w:r>
            <w:r>
              <w:rPr>
                <w:rFonts w:hint="eastAsia"/>
                <w:color w:val="auto"/>
                <w:lang w:val="en-US" w:eastAsia="zh-CN"/>
              </w:rPr>
              <w:t>≥</w:t>
            </w:r>
            <w:r>
              <w:rPr>
                <w:rFonts w:hint="eastAsia" w:ascii="宋体" w:hAnsi="宋体" w:eastAsia="宋体" w:cs="宋体"/>
                <w:b w:val="0"/>
                <w:bCs w:val="0"/>
                <w:i w:val="0"/>
                <w:caps w:val="0"/>
                <w:color w:val="auto"/>
                <w:spacing w:val="0"/>
                <w:sz w:val="21"/>
                <w:szCs w:val="21"/>
                <w:lang w:val="en-US" w:eastAsia="zh-CN"/>
              </w:rPr>
              <w:t>55英寸显示大屏。</w:t>
            </w:r>
          </w:p>
          <w:p w14:paraId="013635C1">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仿宋" w:hAnsi="仿宋" w:eastAsia="仿宋" w:cs="仿宋"/>
                <w:sz w:val="21"/>
                <w:szCs w:val="21"/>
                <w:lang w:val="en-US" w:eastAsia="zh-CN"/>
              </w:rPr>
            </w:pP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1.保修≥3年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12</w:t>
      </w:r>
      <w:r>
        <w:rPr>
          <w:rFonts w:hint="eastAsia"/>
          <w:color w:val="0000FF"/>
        </w:rPr>
        <w:t>月</w:t>
      </w:r>
      <w:r>
        <w:rPr>
          <w:rFonts w:hint="eastAsia"/>
          <w:color w:val="0000FF"/>
          <w:lang w:val="en-US" w:eastAsia="zh-CN"/>
        </w:rPr>
        <w:t>03</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12</w:t>
      </w:r>
      <w:r>
        <w:rPr>
          <w:rFonts w:hint="eastAsia"/>
          <w:color w:val="0000FF"/>
        </w:rPr>
        <w:t>月</w:t>
      </w:r>
      <w:r>
        <w:rPr>
          <w:rFonts w:hint="eastAsia"/>
          <w:color w:val="0000FF"/>
          <w:lang w:val="en-US" w:eastAsia="zh-CN"/>
        </w:rPr>
        <w:t>07</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12</w:t>
      </w:r>
      <w:r>
        <w:rPr>
          <w:rFonts w:hint="eastAsia"/>
          <w:color w:val="0000FF"/>
        </w:rPr>
        <w:t>月</w:t>
      </w:r>
      <w:r>
        <w:rPr>
          <w:rFonts w:hint="eastAsia"/>
          <w:color w:val="0000FF"/>
          <w:lang w:val="en-US" w:eastAsia="zh-CN"/>
        </w:rPr>
        <w:t>07</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5764668">
      <w:pPr>
        <w:spacing w:line="400" w:lineRule="exact"/>
        <w:jc w:val="right"/>
        <w:rPr>
          <w:rFonts w:ascii="宋体" w:hAnsi="宋体" w:eastAsia="宋体" w:cs="宋体"/>
          <w:szCs w:val="21"/>
        </w:rPr>
      </w:pPr>
      <w:r>
        <w:rPr>
          <w:rFonts w:hint="eastAsia"/>
        </w:rPr>
        <w:t>202</w:t>
      </w:r>
      <w:r>
        <w:rPr>
          <w:rFonts w:hint="eastAsia"/>
          <w:lang w:val="en-US" w:eastAsia="zh-CN"/>
        </w:rPr>
        <w:t>5</w:t>
      </w:r>
      <w:r>
        <w:rPr>
          <w:rFonts w:hint="eastAsia"/>
        </w:rPr>
        <w:t>年</w:t>
      </w:r>
      <w:r>
        <w:rPr>
          <w:rFonts w:hint="eastAsia"/>
          <w:lang w:val="en-US" w:eastAsia="zh-CN"/>
        </w:rPr>
        <w:t>12</w:t>
      </w:r>
      <w:r>
        <w:rPr>
          <w:rFonts w:hint="eastAsia"/>
          <w:color w:val="0000FF"/>
        </w:rPr>
        <w:t>月</w:t>
      </w:r>
      <w:r>
        <w:rPr>
          <w:rFonts w:hint="eastAsia"/>
          <w:color w:val="0000FF"/>
          <w:lang w:val="en-US" w:eastAsia="zh-CN"/>
        </w:rPr>
        <w:t>03</w:t>
      </w:r>
      <w:r>
        <w:rPr>
          <w:rFonts w:hint="eastAsia"/>
          <w:color w:val="0000FF"/>
        </w:rPr>
        <w:t>日</w:t>
      </w:r>
    </w:p>
    <w:p w14:paraId="536EC433">
      <w:pPr>
        <w:pStyle w:val="5"/>
        <w:rPr>
          <w:szCs w:val="30"/>
        </w:rPr>
      </w:pPr>
      <w:bookmarkStart w:id="0" w:name="_Toc8052"/>
      <w:r>
        <w:rPr>
          <w:rFonts w:hint="eastAsia"/>
          <w:szCs w:val="30"/>
        </w:rPr>
        <w:t>二、调查内容</w:t>
      </w:r>
    </w:p>
    <w:p w14:paraId="183F1511">
      <w:pPr>
        <w:pStyle w:val="6"/>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1F6B7B69">
      <w:pPr>
        <w:spacing w:line="360" w:lineRule="auto"/>
        <w:ind w:firstLine="241" w:firstLineChars="100"/>
        <w:rPr>
          <w:rFonts w:ascii="宋体" w:hAnsi="宋体" w:eastAsia="宋体"/>
          <w:b/>
          <w:bCs/>
          <w:sz w:val="24"/>
          <w:szCs w:val="24"/>
        </w:rPr>
      </w:pPr>
    </w:p>
    <w:p w14:paraId="7978C6BB">
      <w:pPr>
        <w:wordWrap w:val="0"/>
        <w:ind w:firstLine="281" w:firstLineChars="10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4958731A">
      <w:pPr>
        <w:wordWrap w:val="0"/>
        <w:spacing w:line="480" w:lineRule="auto"/>
        <w:ind w:right="844" w:firstLine="4337" w:firstLineChars="1800"/>
        <w:rPr>
          <w:rFonts w:ascii="宋体" w:hAnsi="宋体" w:eastAsia="宋体"/>
          <w:b/>
          <w:bCs/>
          <w:sz w:val="24"/>
          <w:szCs w:val="24"/>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p>
    <w:bookmarkEnd w:id="1"/>
    <w:p w14:paraId="5EDA9B15">
      <w:pPr>
        <w:widowControl/>
        <w:jc w:val="left"/>
        <w:rPr>
          <w:szCs w:val="20"/>
        </w:rPr>
      </w:pPr>
      <w:r>
        <w:br w:type="page"/>
      </w:r>
    </w:p>
    <w:p w14:paraId="3DEDEAF3">
      <w:pPr>
        <w:pStyle w:val="6"/>
      </w:pPr>
      <w:r>
        <w:rPr>
          <w:rFonts w:hint="eastAsia"/>
        </w:rPr>
        <w:t>2、</w:t>
      </w:r>
      <w:bookmarkEnd w:id="0"/>
      <w:r>
        <w:rPr>
          <w:rFonts w:hint="eastAsia"/>
        </w:rPr>
        <w:t>资料要求</w:t>
      </w:r>
    </w:p>
    <w:p w14:paraId="3E4997ED">
      <w:pPr>
        <w:pStyle w:val="8"/>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8"/>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6"/>
      </w:pPr>
      <w:bookmarkStart w:id="2" w:name="_Toc24690"/>
      <w:r>
        <w:rPr>
          <w:rFonts w:hint="eastAsia"/>
        </w:rPr>
        <w:t>3、市场调查情况说明</w:t>
      </w:r>
    </w:p>
    <w:p w14:paraId="7EC6A056">
      <w:pPr>
        <w:pStyle w:val="19"/>
        <w:numPr>
          <w:ilvl w:val="0"/>
          <w:numId w:val="3"/>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3"/>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3"/>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3"/>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8"/>
              <w:jc w:val="center"/>
              <w:rPr>
                <w:sz w:val="24"/>
                <w:szCs w:val="24"/>
              </w:rPr>
            </w:pPr>
            <w:r>
              <w:rPr>
                <w:rFonts w:hint="eastAsia"/>
                <w:sz w:val="24"/>
                <w:szCs w:val="24"/>
              </w:rPr>
              <w:t>序号</w:t>
            </w:r>
          </w:p>
        </w:tc>
        <w:tc>
          <w:tcPr>
            <w:tcW w:w="1387" w:type="dxa"/>
            <w:vAlign w:val="center"/>
          </w:tcPr>
          <w:p w14:paraId="27F9A7DA">
            <w:pPr>
              <w:pStyle w:val="8"/>
              <w:jc w:val="center"/>
              <w:rPr>
                <w:sz w:val="24"/>
                <w:szCs w:val="24"/>
              </w:rPr>
            </w:pPr>
            <w:r>
              <w:rPr>
                <w:sz w:val="24"/>
                <w:szCs w:val="24"/>
              </w:rPr>
              <w:t>产品名称</w:t>
            </w:r>
          </w:p>
        </w:tc>
        <w:tc>
          <w:tcPr>
            <w:tcW w:w="1913" w:type="dxa"/>
            <w:vAlign w:val="center"/>
          </w:tcPr>
          <w:p w14:paraId="63E1DB7D">
            <w:pPr>
              <w:pStyle w:val="8"/>
              <w:jc w:val="center"/>
              <w:rPr>
                <w:sz w:val="24"/>
                <w:szCs w:val="24"/>
              </w:rPr>
            </w:pPr>
            <w:r>
              <w:rPr>
                <w:sz w:val="24"/>
                <w:szCs w:val="24"/>
              </w:rPr>
              <w:t>制造商或服务商</w:t>
            </w:r>
          </w:p>
        </w:tc>
        <w:tc>
          <w:tcPr>
            <w:tcW w:w="1199" w:type="dxa"/>
            <w:vAlign w:val="center"/>
          </w:tcPr>
          <w:p w14:paraId="348BF487">
            <w:pPr>
              <w:pStyle w:val="8"/>
              <w:jc w:val="center"/>
              <w:rPr>
                <w:sz w:val="24"/>
                <w:szCs w:val="24"/>
              </w:rPr>
            </w:pPr>
            <w:r>
              <w:rPr>
                <w:sz w:val="24"/>
                <w:szCs w:val="24"/>
              </w:rPr>
              <w:t>规格型号</w:t>
            </w:r>
          </w:p>
        </w:tc>
        <w:tc>
          <w:tcPr>
            <w:tcW w:w="1295" w:type="dxa"/>
            <w:vAlign w:val="center"/>
          </w:tcPr>
          <w:p w14:paraId="3567E33B">
            <w:pPr>
              <w:pStyle w:val="8"/>
              <w:jc w:val="center"/>
              <w:rPr>
                <w:sz w:val="24"/>
                <w:szCs w:val="24"/>
              </w:rPr>
            </w:pPr>
            <w:r>
              <w:rPr>
                <w:rFonts w:hint="eastAsia"/>
                <w:sz w:val="24"/>
                <w:szCs w:val="24"/>
              </w:rPr>
              <w:t>成交价</w:t>
            </w:r>
          </w:p>
        </w:tc>
        <w:tc>
          <w:tcPr>
            <w:tcW w:w="1360" w:type="dxa"/>
            <w:vAlign w:val="center"/>
          </w:tcPr>
          <w:p w14:paraId="2B6674B7">
            <w:pPr>
              <w:pStyle w:val="8"/>
              <w:jc w:val="center"/>
              <w:rPr>
                <w:sz w:val="24"/>
                <w:szCs w:val="24"/>
              </w:rPr>
            </w:pPr>
            <w:r>
              <w:rPr>
                <w:sz w:val="24"/>
                <w:szCs w:val="24"/>
              </w:rPr>
              <w:t>采购单位</w:t>
            </w:r>
          </w:p>
        </w:tc>
        <w:tc>
          <w:tcPr>
            <w:tcW w:w="1328" w:type="dxa"/>
          </w:tcPr>
          <w:p w14:paraId="79E3C148">
            <w:pPr>
              <w:pStyle w:val="8"/>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8"/>
              <w:jc w:val="center"/>
              <w:rPr>
                <w:sz w:val="24"/>
                <w:szCs w:val="24"/>
              </w:rPr>
            </w:pPr>
          </w:p>
        </w:tc>
        <w:tc>
          <w:tcPr>
            <w:tcW w:w="1387" w:type="dxa"/>
          </w:tcPr>
          <w:p w14:paraId="1B52B6AF">
            <w:pPr>
              <w:pStyle w:val="8"/>
              <w:jc w:val="center"/>
              <w:rPr>
                <w:sz w:val="24"/>
                <w:szCs w:val="24"/>
              </w:rPr>
            </w:pPr>
          </w:p>
        </w:tc>
        <w:tc>
          <w:tcPr>
            <w:tcW w:w="1913" w:type="dxa"/>
          </w:tcPr>
          <w:p w14:paraId="6F91CA98">
            <w:pPr>
              <w:pStyle w:val="8"/>
              <w:jc w:val="center"/>
              <w:rPr>
                <w:sz w:val="24"/>
                <w:szCs w:val="24"/>
              </w:rPr>
            </w:pPr>
          </w:p>
        </w:tc>
        <w:tc>
          <w:tcPr>
            <w:tcW w:w="1199" w:type="dxa"/>
          </w:tcPr>
          <w:p w14:paraId="17D8146C">
            <w:pPr>
              <w:pStyle w:val="8"/>
              <w:jc w:val="center"/>
              <w:rPr>
                <w:sz w:val="24"/>
                <w:szCs w:val="24"/>
              </w:rPr>
            </w:pPr>
          </w:p>
        </w:tc>
        <w:tc>
          <w:tcPr>
            <w:tcW w:w="1295" w:type="dxa"/>
          </w:tcPr>
          <w:p w14:paraId="3DBA9C20">
            <w:pPr>
              <w:pStyle w:val="8"/>
              <w:jc w:val="center"/>
              <w:rPr>
                <w:sz w:val="24"/>
                <w:szCs w:val="24"/>
              </w:rPr>
            </w:pPr>
          </w:p>
        </w:tc>
        <w:tc>
          <w:tcPr>
            <w:tcW w:w="1360" w:type="dxa"/>
          </w:tcPr>
          <w:p w14:paraId="6C663B1E">
            <w:pPr>
              <w:pStyle w:val="8"/>
              <w:jc w:val="center"/>
              <w:rPr>
                <w:sz w:val="24"/>
                <w:szCs w:val="24"/>
              </w:rPr>
            </w:pPr>
          </w:p>
        </w:tc>
        <w:tc>
          <w:tcPr>
            <w:tcW w:w="1328" w:type="dxa"/>
          </w:tcPr>
          <w:p w14:paraId="0C3EAF0B">
            <w:pPr>
              <w:pStyle w:val="8"/>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8"/>
              <w:jc w:val="center"/>
              <w:rPr>
                <w:sz w:val="24"/>
                <w:szCs w:val="24"/>
              </w:rPr>
            </w:pPr>
          </w:p>
        </w:tc>
        <w:tc>
          <w:tcPr>
            <w:tcW w:w="1387" w:type="dxa"/>
          </w:tcPr>
          <w:p w14:paraId="08628089">
            <w:pPr>
              <w:pStyle w:val="8"/>
              <w:jc w:val="center"/>
              <w:rPr>
                <w:sz w:val="24"/>
                <w:szCs w:val="24"/>
              </w:rPr>
            </w:pPr>
          </w:p>
        </w:tc>
        <w:tc>
          <w:tcPr>
            <w:tcW w:w="1913" w:type="dxa"/>
          </w:tcPr>
          <w:p w14:paraId="2B047814">
            <w:pPr>
              <w:pStyle w:val="8"/>
              <w:jc w:val="center"/>
              <w:rPr>
                <w:sz w:val="24"/>
                <w:szCs w:val="24"/>
              </w:rPr>
            </w:pPr>
          </w:p>
        </w:tc>
        <w:tc>
          <w:tcPr>
            <w:tcW w:w="1199" w:type="dxa"/>
          </w:tcPr>
          <w:p w14:paraId="6BD9ED73">
            <w:pPr>
              <w:pStyle w:val="8"/>
              <w:jc w:val="center"/>
              <w:rPr>
                <w:sz w:val="24"/>
                <w:szCs w:val="24"/>
              </w:rPr>
            </w:pPr>
          </w:p>
        </w:tc>
        <w:tc>
          <w:tcPr>
            <w:tcW w:w="1295" w:type="dxa"/>
          </w:tcPr>
          <w:p w14:paraId="0B2CC433">
            <w:pPr>
              <w:pStyle w:val="8"/>
              <w:jc w:val="center"/>
              <w:rPr>
                <w:sz w:val="24"/>
                <w:szCs w:val="24"/>
              </w:rPr>
            </w:pPr>
          </w:p>
        </w:tc>
        <w:tc>
          <w:tcPr>
            <w:tcW w:w="1360" w:type="dxa"/>
          </w:tcPr>
          <w:p w14:paraId="5D2BA18E">
            <w:pPr>
              <w:pStyle w:val="8"/>
              <w:jc w:val="center"/>
              <w:rPr>
                <w:sz w:val="24"/>
                <w:szCs w:val="24"/>
              </w:rPr>
            </w:pPr>
          </w:p>
        </w:tc>
        <w:tc>
          <w:tcPr>
            <w:tcW w:w="1328" w:type="dxa"/>
          </w:tcPr>
          <w:p w14:paraId="05ADACED">
            <w:pPr>
              <w:pStyle w:val="8"/>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8"/>
      </w:pPr>
    </w:p>
    <w:p w14:paraId="6E17E2C6">
      <w:pPr>
        <w:widowControl/>
        <w:jc w:val="left"/>
        <w:rPr>
          <w:b/>
          <w:bCs/>
          <w:sz w:val="28"/>
          <w:szCs w:val="32"/>
        </w:rPr>
      </w:pPr>
      <w:r>
        <w:br w:type="page"/>
      </w:r>
    </w:p>
    <w:p w14:paraId="349BD741">
      <w:pPr>
        <w:pStyle w:val="6"/>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195" w:type="dxa"/>
        <w:tblInd w:w="93" w:type="dxa"/>
        <w:tblLayout w:type="fixed"/>
        <w:tblCellMar>
          <w:top w:w="0" w:type="dxa"/>
          <w:left w:w="108" w:type="dxa"/>
          <w:bottom w:w="0" w:type="dxa"/>
          <w:right w:w="108" w:type="dxa"/>
        </w:tblCellMar>
      </w:tblPr>
      <w:tblGrid>
        <w:gridCol w:w="602"/>
        <w:gridCol w:w="2153"/>
        <w:gridCol w:w="5756"/>
        <w:gridCol w:w="684"/>
      </w:tblGrid>
      <w:tr w14:paraId="72DF684C">
        <w:tblPrEx>
          <w:tblCellMar>
            <w:top w:w="0" w:type="dxa"/>
            <w:left w:w="108" w:type="dxa"/>
            <w:bottom w:w="0" w:type="dxa"/>
            <w:right w:w="108" w:type="dxa"/>
          </w:tblCellMar>
        </w:tblPrEx>
        <w:trPr>
          <w:trHeight w:val="980"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56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序号</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88A6">
            <w:pPr>
              <w:widowControl/>
              <w:jc w:val="center"/>
              <w:textAlignment w:val="center"/>
              <w:rPr>
                <w:rFonts w:hint="eastAsia" w:ascii="宋体" w:hAnsi="宋体" w:eastAsia="宋体" w:cs="宋体"/>
                <w:color w:val="000000"/>
                <w:sz w:val="22"/>
                <w:lang w:val="en-US" w:eastAsia="zh-CN"/>
              </w:rPr>
            </w:pPr>
            <w:r>
              <w:rPr>
                <w:rFonts w:hint="eastAsia" w:ascii="宋体" w:hAnsi="宋体" w:eastAsia="宋体" w:cs="宋体"/>
                <w:color w:val="000000"/>
                <w:kern w:val="0"/>
                <w:sz w:val="22"/>
                <w:lang w:eastAsia="zh-CN" w:bidi="ar"/>
              </w:rPr>
              <w:t>需求参数</w:t>
            </w: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675E">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产品具体</w:t>
            </w:r>
            <w:r>
              <w:rPr>
                <w:rFonts w:hint="eastAsia" w:ascii="宋体" w:hAnsi="宋体" w:eastAsia="宋体" w:cs="宋体"/>
                <w:color w:val="000000"/>
                <w:kern w:val="0"/>
                <w:sz w:val="22"/>
                <w:lang w:bidi="ar"/>
              </w:rPr>
              <w:t>参数</w:t>
            </w:r>
            <w:r>
              <w:rPr>
                <w:rFonts w:hint="eastAsia" w:ascii="宋体" w:hAnsi="宋体" w:eastAsia="宋体" w:cs="宋体"/>
                <w:color w:val="000000"/>
                <w:kern w:val="0"/>
                <w:sz w:val="22"/>
                <w:lang w:eastAsia="zh-CN" w:bidi="ar"/>
              </w:rPr>
              <w:t>及配置</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B197A">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是否偏离</w:t>
            </w:r>
          </w:p>
        </w:tc>
      </w:tr>
      <w:tr w14:paraId="15518193">
        <w:tblPrEx>
          <w:tblCellMar>
            <w:top w:w="0" w:type="dxa"/>
            <w:left w:w="108" w:type="dxa"/>
            <w:bottom w:w="0" w:type="dxa"/>
            <w:right w:w="108" w:type="dxa"/>
          </w:tblCellMar>
        </w:tblPrEx>
        <w:trPr>
          <w:trHeight w:val="2844"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EF52">
            <w:pPr>
              <w:widowControl/>
              <w:jc w:val="center"/>
              <w:textAlignment w:val="center"/>
              <w:rPr>
                <w:rFonts w:ascii="宋体" w:hAnsi="宋体" w:eastAsia="宋体" w:cs="宋体"/>
                <w:color w:val="000000"/>
                <w:sz w:val="20"/>
                <w:szCs w:val="20"/>
              </w:rPr>
            </w:pPr>
            <w:r>
              <w:rPr>
                <w:rFonts w:ascii="宋体" w:hAnsi="宋体"/>
                <w:bCs/>
                <w:sz w:val="24"/>
                <w:szCs w:val="24"/>
              </w:rPr>
              <w:t>1</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16CA9">
            <w:pPr>
              <w:widowControl/>
              <w:jc w:val="center"/>
              <w:textAlignment w:val="center"/>
              <w:rPr>
                <w:rFonts w:ascii="宋体" w:hAnsi="宋体" w:eastAsia="宋体" w:cs="宋体"/>
                <w:color w:val="000000"/>
                <w:sz w:val="22"/>
              </w:rPr>
            </w:pP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A62F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FE663">
            <w:pPr>
              <w:jc w:val="left"/>
              <w:rPr>
                <w:rFonts w:ascii="宋体" w:hAnsi="宋体" w:eastAsia="宋体" w:cs="宋体"/>
                <w:color w:val="000000"/>
                <w:sz w:val="20"/>
                <w:szCs w:val="20"/>
              </w:rPr>
            </w:pPr>
          </w:p>
        </w:tc>
      </w:tr>
    </w:tbl>
    <w:p w14:paraId="405D04A3">
      <w:pPr>
        <w:rPr>
          <w:b/>
          <w:bCs/>
          <w:sz w:val="24"/>
          <w:szCs w:val="24"/>
        </w:rPr>
      </w:pPr>
    </w:p>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6"/>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6"/>
      </w:pPr>
      <w:r>
        <w:rPr>
          <w:rFonts w:hint="eastAsia"/>
        </w:rPr>
        <w:t>6、</w:t>
      </w:r>
      <w:bookmarkStart w:id="4" w:name="_Toc5245"/>
      <w:bookmarkStart w:id="5" w:name="_Toc3725657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8"/>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8"/>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5</w:t>
      </w:r>
      <w:bookmarkStart w:id="6" w:name="_GoBack"/>
      <w:bookmarkEnd w:id="6"/>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8"/>
      </w:pPr>
    </w:p>
    <w:p w14:paraId="6A334546">
      <w:pPr>
        <w:pStyle w:val="8"/>
      </w:pPr>
    </w:p>
    <w:p w14:paraId="2BF12453">
      <w:pPr>
        <w:pStyle w:val="8"/>
      </w:pPr>
    </w:p>
    <w:p w14:paraId="596DA215">
      <w:pPr>
        <w:pStyle w:val="8"/>
      </w:pPr>
    </w:p>
    <w:p w14:paraId="51D4CD71">
      <w:pPr>
        <w:pStyle w:val="8"/>
      </w:pPr>
    </w:p>
    <w:p w14:paraId="12B26632">
      <w:pPr>
        <w:pStyle w:val="8"/>
      </w:pPr>
    </w:p>
    <w:p w14:paraId="0D657DF5">
      <w:pPr>
        <w:pStyle w:val="8"/>
      </w:pPr>
    </w:p>
    <w:p w14:paraId="6A0BB67D">
      <w:pPr>
        <w:pStyle w:val="8"/>
      </w:pPr>
    </w:p>
    <w:p w14:paraId="6C9EBD66">
      <w:pPr>
        <w:pStyle w:val="6"/>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EFBF3E"/>
    <w:multiLevelType w:val="singleLevel"/>
    <w:tmpl w:val="CAEFBF3E"/>
    <w:lvl w:ilvl="0" w:tentative="0">
      <w:start w:val="1"/>
      <w:numFmt w:val="decimal"/>
      <w:lvlText w:val="%1."/>
      <w:lvlJc w:val="left"/>
      <w:pPr>
        <w:ind w:left="425" w:hanging="425"/>
      </w:pPr>
      <w:rPr>
        <w:rFonts w:hint="default"/>
      </w:rPr>
    </w:lvl>
  </w:abstractNum>
  <w:abstractNum w:abstractNumId="1">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2"/>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10A342B4"/>
    <w:rsid w:val="117B35FD"/>
    <w:rsid w:val="122D02D9"/>
    <w:rsid w:val="160C2B35"/>
    <w:rsid w:val="16D8458B"/>
    <w:rsid w:val="1AFE791C"/>
    <w:rsid w:val="1CBA09BB"/>
    <w:rsid w:val="1D79513F"/>
    <w:rsid w:val="238C64A5"/>
    <w:rsid w:val="25A16BBC"/>
    <w:rsid w:val="260414BA"/>
    <w:rsid w:val="26785286"/>
    <w:rsid w:val="26C40EBC"/>
    <w:rsid w:val="27865287"/>
    <w:rsid w:val="2B894753"/>
    <w:rsid w:val="33694A9C"/>
    <w:rsid w:val="34CE72A2"/>
    <w:rsid w:val="35045B31"/>
    <w:rsid w:val="37621F23"/>
    <w:rsid w:val="3A1219DE"/>
    <w:rsid w:val="3D8E4AC7"/>
    <w:rsid w:val="45576E3F"/>
    <w:rsid w:val="49624616"/>
    <w:rsid w:val="49F35BEF"/>
    <w:rsid w:val="4D673998"/>
    <w:rsid w:val="51960CEF"/>
    <w:rsid w:val="519D207E"/>
    <w:rsid w:val="529E7E5B"/>
    <w:rsid w:val="57BE4AFC"/>
    <w:rsid w:val="581B3CFC"/>
    <w:rsid w:val="5BA2386D"/>
    <w:rsid w:val="5BC77AB3"/>
    <w:rsid w:val="607E12CC"/>
    <w:rsid w:val="61FC5238"/>
    <w:rsid w:val="64C17B6F"/>
    <w:rsid w:val="65D80C76"/>
    <w:rsid w:val="6659436D"/>
    <w:rsid w:val="68776D2D"/>
    <w:rsid w:val="6BD46244"/>
    <w:rsid w:val="72516841"/>
    <w:rsid w:val="73C03CF9"/>
    <w:rsid w:val="78C4546F"/>
    <w:rsid w:val="7A4F18B8"/>
    <w:rsid w:val="7BCE6B3D"/>
    <w:rsid w:val="7E8B7A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5">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6">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7">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customStyle="1" w:styleId="2">
    <w:name w:val="标题 5（有编号）（绿盟科技）"/>
    <w:basedOn w:val="1"/>
    <w:next w:val="3"/>
    <w:qFormat/>
    <w:uiPriority w:val="0"/>
    <w:pPr>
      <w:keepNext/>
      <w:keepLines/>
      <w:numPr>
        <w:ilvl w:val="4"/>
        <w:numId w:val="1"/>
      </w:numPr>
      <w:tabs>
        <w:tab w:val="left" w:pos="0"/>
      </w:tabs>
      <w:spacing w:before="280" w:after="156" w:line="377" w:lineRule="auto"/>
      <w:outlineLvl w:val="4"/>
    </w:pPr>
    <w:rPr>
      <w:rFonts w:ascii="Arial" w:hAnsi="Arial" w:eastAsia="黑体"/>
      <w:b/>
      <w:kern w:val="0"/>
      <w:szCs w:val="28"/>
    </w:rPr>
  </w:style>
  <w:style w:type="paragraph" w:customStyle="1" w:styleId="3">
    <w:name w:val="正文（绿盟科技）"/>
    <w:qFormat/>
    <w:uiPriority w:val="0"/>
    <w:pPr>
      <w:spacing w:line="300" w:lineRule="auto"/>
    </w:pPr>
    <w:rPr>
      <w:rFonts w:ascii="Arial" w:hAnsi="Arial" w:eastAsia="宋体" w:cs="黑体"/>
      <w:sz w:val="21"/>
      <w:szCs w:val="21"/>
      <w:lang w:val="en-US" w:eastAsia="zh-CN" w:bidi="ar-SA"/>
    </w:rPr>
  </w:style>
  <w:style w:type="paragraph" w:styleId="8">
    <w:name w:val="Body Text"/>
    <w:basedOn w:val="1"/>
    <w:qFormat/>
    <w:uiPriority w:val="99"/>
    <w:rPr>
      <w:szCs w:val="20"/>
    </w:rPr>
  </w:style>
  <w:style w:type="paragraph" w:styleId="9">
    <w:name w:val="footer"/>
    <w:basedOn w:val="1"/>
    <w:link w:val="18"/>
    <w:qFormat/>
    <w:uiPriority w:val="0"/>
    <w:pPr>
      <w:tabs>
        <w:tab w:val="center" w:pos="4153"/>
        <w:tab w:val="right" w:pos="8306"/>
      </w:tabs>
      <w:snapToGrid w:val="0"/>
      <w:jc w:val="left"/>
    </w:pPr>
    <w:rPr>
      <w:sz w:val="18"/>
      <w:szCs w:val="18"/>
    </w:rPr>
  </w:style>
  <w:style w:type="paragraph" w:styleId="10">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10"/>
    <w:qFormat/>
    <w:uiPriority w:val="0"/>
    <w:rPr>
      <w:rFonts w:asciiTheme="minorHAnsi" w:hAnsiTheme="minorHAnsi" w:eastAsiaTheme="minorEastAsia" w:cstheme="minorBidi"/>
      <w:kern w:val="2"/>
      <w:sz w:val="18"/>
      <w:szCs w:val="18"/>
    </w:rPr>
  </w:style>
  <w:style w:type="character" w:customStyle="1" w:styleId="18">
    <w:name w:val="页脚 Char"/>
    <w:basedOn w:val="14"/>
    <w:link w:val="9"/>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 w:type="paragraph" w:customStyle="1" w:styleId="20">
    <w:name w:val="null3"/>
    <w:hidden/>
    <w:qFormat/>
    <w:uiPriority w:val="0"/>
    <w:rPr>
      <w:rFonts w:hint="eastAsia" w:asciiTheme="minorHAnsi" w:hAnsiTheme="minorHAnsi" w:eastAsiaTheme="minorEastAsia" w:cstheme="minorBidi"/>
      <w:lang w:val="en-US" w:eastAsia="zh-Hans" w:bidi="ar-SA"/>
    </w:rPr>
  </w:style>
  <w:style w:type="character" w:customStyle="1" w:styleId="21">
    <w:name w:val="16"/>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3117</Words>
  <Characters>3298</Characters>
  <Lines>5</Lines>
  <Paragraphs>1</Paragraphs>
  <TotalTime>5</TotalTime>
  <ScaleCrop>false</ScaleCrop>
  <LinksUpToDate>false</LinksUpToDate>
  <CharactersWithSpaces>3402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大明</cp:lastModifiedBy>
  <cp:lastPrinted>2024-05-11T00:35:00Z</cp:lastPrinted>
  <dcterms:modified xsi:type="dcterms:W3CDTF">2025-12-02T09:29:07Z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53F223D30A5343AFB704AAAB6EE2D1A7_13</vt:lpwstr>
  </property>
  <property fmtid="{D5CDD505-2E9C-101B-9397-08002B2CF9AE}" pid="4" name="KSOTemplateDocerSaveRecord">
    <vt:lpwstr>eyJoZGlkIjoiYzA3OTMxZDUzODkwMzc5NDQwMDNhYjdiOTU3ZWRhNGQiLCJ1c2VySWQiOiIxMDMxMDM0MDA0In0=</vt:lpwstr>
  </property>
</Properties>
</file>